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spacing w:after="0" w:before="480" w:line="276" w:lineRule="auto"/>
        <w:contextualSpacing w:val="0"/>
        <w:jc w:val="center"/>
        <w:rPr>
          <w:b w:val="1"/>
          <w:color w:val="366091"/>
          <w:sz w:val="36"/>
          <w:szCs w:val="36"/>
        </w:rPr>
      </w:pPr>
      <w:r w:rsidDel="00000000" w:rsidR="00000000" w:rsidRPr="00000000">
        <w:rPr>
          <w:b w:val="1"/>
          <w:color w:val="366091"/>
          <w:sz w:val="36"/>
          <w:szCs w:val="36"/>
          <w:rtl w:val="0"/>
        </w:rPr>
        <w:t xml:space="preserve">RETREAT FORMAT (from </w:t>
      </w:r>
      <w:r w:rsidDel="00000000" w:rsidR="00000000" w:rsidRPr="00000000">
        <w:rPr>
          <w:b w:val="1"/>
          <w:i w:val="1"/>
          <w:color w:val="366091"/>
          <w:sz w:val="36"/>
          <w:szCs w:val="36"/>
          <w:rtl w:val="0"/>
        </w:rPr>
        <w:t xml:space="preserve">Amoris Laetitia</w:t>
      </w:r>
      <w:r w:rsidDel="00000000" w:rsidR="00000000" w:rsidRPr="00000000">
        <w:rPr>
          <w:b w:val="1"/>
          <w:color w:val="366091"/>
          <w:sz w:val="36"/>
          <w:szCs w:val="36"/>
          <w:rtl w:val="0"/>
        </w:rPr>
        <w:t xml:space="preserve">, ch.4-5)</w:t>
      </w:r>
    </w:p>
    <w:p w:rsidR="00000000" w:rsidDel="00000000" w:rsidP="00000000" w:rsidRDefault="00000000" w:rsidRPr="00000000" w14:paraId="00000001">
      <w:pPr>
        <w:pStyle w:val="Heading2"/>
        <w:spacing w:after="0" w:before="200" w:line="276" w:lineRule="auto"/>
        <w:contextualSpacing w:val="0"/>
        <w:jc w:val="center"/>
        <w:rPr>
          <w:b w:val="1"/>
          <w:color w:val="ff0000"/>
          <w:sz w:val="26"/>
          <w:szCs w:val="26"/>
        </w:rPr>
      </w:pPr>
      <w:r w:rsidDel="00000000" w:rsidR="00000000" w:rsidRPr="00000000">
        <w:rPr>
          <w:b w:val="1"/>
          <w:color w:val="ff0000"/>
          <w:sz w:val="26"/>
          <w:szCs w:val="26"/>
          <w:rtl w:val="0"/>
        </w:rPr>
        <w:t xml:space="preserve">Saturday 1:00-9:00pm</w:t>
      </w:r>
    </w:p>
    <w:p w:rsidR="00000000" w:rsidDel="00000000" w:rsidP="00000000" w:rsidRDefault="00000000" w:rsidRPr="00000000" w14:paraId="00000002">
      <w:pPr>
        <w:spacing w:after="200" w:line="276" w:lineRule="auto"/>
        <w:contextualSpacing w:val="0"/>
        <w:rPr/>
      </w:pPr>
      <w:r w:rsidDel="00000000" w:rsidR="00000000" w:rsidRPr="00000000">
        <w:rPr>
          <w:rtl w:val="0"/>
        </w:rPr>
      </w:r>
    </w:p>
    <w:p w:rsidR="00000000" w:rsidDel="00000000" w:rsidP="00000000" w:rsidRDefault="00000000" w:rsidRPr="00000000" w14:paraId="00000003">
      <w:pPr>
        <w:spacing w:line="240" w:lineRule="auto"/>
        <w:contextualSpacing w:val="0"/>
        <w:rPr>
          <w:b w:val="1"/>
          <w:color w:val="403152"/>
          <w:sz w:val="24"/>
          <w:szCs w:val="24"/>
        </w:rPr>
      </w:pPr>
      <w:bookmarkStart w:colFirst="0" w:colLast="0" w:name="_n3lnb4l6ygkm" w:id="0"/>
      <w:bookmarkEnd w:id="0"/>
      <w:r w:rsidDel="00000000" w:rsidR="00000000" w:rsidRPr="00000000">
        <w:rPr>
          <w:b w:val="1"/>
          <w:color w:val="403152"/>
          <w:sz w:val="24"/>
          <w:szCs w:val="24"/>
          <w:rtl w:val="0"/>
        </w:rPr>
        <w:t xml:space="preserve">Most talks will include some witness or story in the intro to connect them with the speaker and breakdown walls. </w:t>
      </w:r>
    </w:p>
    <w:p w:rsidR="00000000" w:rsidDel="00000000" w:rsidP="00000000" w:rsidRDefault="00000000" w:rsidRPr="00000000" w14:paraId="00000004">
      <w:pPr>
        <w:spacing w:line="240" w:lineRule="auto"/>
        <w:contextualSpacing w:val="0"/>
        <w:rPr>
          <w:b w:val="1"/>
          <w:color w:val="403152"/>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Witness/connect with audience – 5 min.</w:t>
      </w:r>
    </w:p>
    <w:p w:rsidR="00000000" w:rsidDel="00000000" w:rsidP="00000000" w:rsidRDefault="00000000" w:rsidRPr="00000000" w14:paraId="00000006">
      <w:pPr>
        <w:numPr>
          <w:ilvl w:val="0"/>
          <w:numId w:val="1"/>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Layout the roadmap for the talk and put it in the context of the entire retreat – 5min.</w:t>
      </w:r>
    </w:p>
    <w:p w:rsidR="00000000" w:rsidDel="00000000" w:rsidP="00000000" w:rsidRDefault="00000000" w:rsidRPr="00000000" w14:paraId="00000007">
      <w:pPr>
        <w:numPr>
          <w:ilvl w:val="0"/>
          <w:numId w:val="1"/>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Cover the topic with mercy, clarity and charity, give examples of living it – 20 min.</w:t>
      </w:r>
    </w:p>
    <w:p w:rsidR="00000000" w:rsidDel="00000000" w:rsidP="00000000" w:rsidRDefault="00000000" w:rsidRPr="00000000" w14:paraId="00000008">
      <w:pPr>
        <w:numPr>
          <w:ilvl w:val="0"/>
          <w:numId w:val="1"/>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Breakouts/conversation/Q&amp;A – 15 min.</w:t>
      </w:r>
    </w:p>
    <w:p w:rsidR="00000000" w:rsidDel="00000000" w:rsidP="00000000" w:rsidRDefault="00000000" w:rsidRPr="00000000" w14:paraId="00000009">
      <w:pPr>
        <w:numPr>
          <w:ilvl w:val="0"/>
          <w:numId w:val="1"/>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Wrap up - vision for moving forward. – 5 min.</w:t>
      </w:r>
    </w:p>
    <w:p w:rsidR="00000000" w:rsidDel="00000000" w:rsidP="00000000" w:rsidRDefault="00000000" w:rsidRPr="00000000" w14:paraId="0000000A">
      <w:pPr>
        <w:spacing w:line="240" w:lineRule="auto"/>
        <w:contextualSpacing w:val="0"/>
        <w:rPr>
          <w:b w:val="1"/>
          <w:color w:val="403152"/>
          <w:sz w:val="24"/>
          <w:szCs w:val="24"/>
        </w:rPr>
      </w:pPr>
      <w:r w:rsidDel="00000000" w:rsidR="00000000" w:rsidRPr="00000000">
        <w:rPr>
          <w:rtl w:val="0"/>
        </w:rPr>
      </w:r>
    </w:p>
    <w:p w:rsidR="00000000" w:rsidDel="00000000" w:rsidP="00000000" w:rsidRDefault="00000000" w:rsidRPr="00000000" w14:paraId="0000000B">
      <w:pPr>
        <w:spacing w:after="200" w:line="276" w:lineRule="auto"/>
        <w:contextualSpacing w:val="0"/>
        <w:rPr>
          <w:b w:val="1"/>
          <w:color w:val="403152"/>
          <w:sz w:val="24"/>
          <w:szCs w:val="24"/>
        </w:rPr>
      </w:pPr>
      <w:r w:rsidDel="00000000" w:rsidR="00000000" w:rsidRPr="00000000">
        <w:rPr>
          <w:b w:val="1"/>
          <w:color w:val="403152"/>
          <w:sz w:val="24"/>
          <w:szCs w:val="24"/>
          <w:rtl w:val="0"/>
        </w:rPr>
        <w:t xml:space="preserve">There should be goals for each presentation and themes should surface.</w:t>
      </w: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1:00-2:00pm INTRO – “Elevates and perfects the social dimension of existence”</w:t>
      </w:r>
    </w:p>
    <w:p w:rsidR="00000000" w:rsidDel="00000000" w:rsidP="00000000" w:rsidRDefault="00000000" w:rsidRPr="00000000" w14:paraId="0000000D">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2:00-3:00pm LOVE – “A pedagogy of love, attuned to the feelings and needs of young people and capable of helping them to grow interiorly.”</w:t>
      </w:r>
    </w:p>
    <w:p w:rsidR="00000000" w:rsidDel="00000000" w:rsidP="00000000" w:rsidRDefault="00000000" w:rsidRPr="00000000" w14:paraId="0000000E">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3:00-4:00pm MARRIAGE LITURGY - “The meaning of the marriage liturgy and signs connected to the signs of love shown throughout married life, so that conjugal life becomes in a certain sense liturgical.” “The meaningfulness of the rings they will exchange and other signs.”</w:t>
      </w:r>
    </w:p>
    <w:p w:rsidR="00000000" w:rsidDel="00000000" w:rsidP="00000000" w:rsidRDefault="00000000" w:rsidRPr="00000000" w14:paraId="0000000F">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4:00-5:00pm CHILDREN – “Benefits children by offering them the best context for their growth and development.”</w:t>
      </w:r>
    </w:p>
    <w:p w:rsidR="00000000" w:rsidDel="00000000" w:rsidP="00000000" w:rsidRDefault="00000000" w:rsidRPr="00000000" w14:paraId="0000001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5:00-6:00pm THEOLOGY OF THE BODY – “Gives sexuality its deepest meaning; the procreative meaning of sexuality, the language of the body.”</w:t>
      </w:r>
    </w:p>
    <w:p w:rsidR="00000000" w:rsidDel="00000000" w:rsidP="00000000" w:rsidRDefault="00000000" w:rsidRPr="00000000" w14:paraId="00000011">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6:00-7:00pm EXAMINATION OF CONSCIENCE &amp; RECONCILIATION – “remind them of the availability of the sacrament of Reconciliation.”</w:t>
      </w:r>
    </w:p>
    <w:p w:rsidR="00000000" w:rsidDel="00000000" w:rsidP="00000000" w:rsidRDefault="00000000" w:rsidRPr="00000000" w14:paraId="00000012">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7:00-8:00pm HEALING &amp; PRAYER (in the Chapel) – “having prayed together, one for the other, to seek God’s help in remaining faithful and generous, to ask the Lord together what he wants of them, and to consecrate their love before an image of the Virgin Mary.”</w:t>
      </w:r>
    </w:p>
    <w:p w:rsidR="00000000" w:rsidDel="00000000" w:rsidP="00000000" w:rsidRDefault="00000000" w:rsidRPr="00000000" w14:paraId="00000013">
      <w:pPr>
        <w:numPr>
          <w:ilvl w:val="0"/>
          <w:numId w:val="2"/>
        </w:numPr>
        <w:spacing w:after="200" w:line="276" w:lineRule="auto"/>
        <w:ind w:left="720" w:hanging="360"/>
        <w:contextualSpacing w:val="1"/>
        <w:rPr>
          <w:sz w:val="24"/>
          <w:szCs w:val="24"/>
        </w:rPr>
      </w:pPr>
      <w:r w:rsidDel="00000000" w:rsidR="00000000" w:rsidRPr="00000000">
        <w:rPr>
          <w:sz w:val="24"/>
          <w:szCs w:val="24"/>
          <w:rtl w:val="0"/>
        </w:rPr>
        <w:t xml:space="preserve">8:00-9:00pm Candle light dinner/Musical overture  </w:t>
      </w:r>
      <w:r w:rsidDel="00000000" w:rsidR="00000000" w:rsidRPr="00000000">
        <w:rPr>
          <w:rtl w:val="0"/>
        </w:rPr>
      </w:r>
    </w:p>
    <w:sectPr>
      <w:headerReference r:id="rId6" w:type="default"/>
      <w:headerReference r:id="rId7" w:type="first"/>
      <w:footerReference r:id="rId8" w:type="default"/>
      <w:footerReference r:id="rId9"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2"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3"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p w:rsidR="00000000" w:rsidDel="00000000" w:rsidP="00000000" w:rsidRDefault="00000000" w:rsidRPr="00000000" w14:paraId="0000001A">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2085975</wp:posOffset>
          </wp:positionH>
          <wp:positionV relativeFrom="paragraph">
            <wp:posOffset>142875</wp:posOffset>
          </wp:positionV>
          <wp:extent cx="2429066" cy="9270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9066" cy="9270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
              <a:graphic>
                <a:graphicData uri="http://schemas.microsoft.com/office/word/2010/wordprocessingShape">
                  <wps:wsp>
                    <wps:cNvCnPr/>
                    <wps:spPr>
                      <a:xfrm>
                        <a:off x="1057275" y="685800"/>
                        <a:ext cx="7515300" cy="0"/>
                      </a:xfrm>
                      <a:prstGeom prst="straightConnector1">
                        <a:avLst/>
                      </a:prstGeom>
                      <a:noFill/>
                      <a:ln cap="flat" cmpd="sng" w="38100">
                        <a:solidFill>
                          <a:srgbClr val="FBD20C"/>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